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附件3:</w:t>
      </w:r>
    </w:p>
    <w:p>
      <w:pPr>
        <w:spacing w:before="202" w:line="219" w:lineRule="auto"/>
        <w:ind w:left="225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1"/>
          <w:sz w:val="31"/>
          <w:szCs w:val="31"/>
        </w:rPr>
        <w:t>门诊慢特病病种待遇申请表</w:t>
      </w:r>
      <w:bookmarkEnd w:id="0"/>
    </w:p>
    <w:p>
      <w:pPr>
        <w:spacing w:line="44" w:lineRule="auto"/>
        <w:rPr>
          <w:rFonts w:ascii="Arial"/>
          <w:sz w:val="2"/>
        </w:rPr>
      </w:pPr>
    </w:p>
    <w:tbl>
      <w:tblPr>
        <w:tblStyle w:val="4"/>
        <w:tblW w:w="866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69"/>
        <w:gridCol w:w="2437"/>
        <w:gridCol w:w="949"/>
        <w:gridCol w:w="949"/>
        <w:gridCol w:w="1228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44" w:line="216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before="45" w:line="215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44" w:line="216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210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210" w:line="220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参保险种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spacing w:before="70" w:line="220" w:lineRule="auto"/>
              <w:ind w:left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职工医保</w:t>
            </w:r>
          </w:p>
          <w:p>
            <w:pPr>
              <w:spacing w:before="12" w:line="215" w:lineRule="auto"/>
              <w:ind w:left="6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51" w:line="214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病种名称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50" w:line="215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病种编码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40" w:line="214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疾病诊断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40" w:line="21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首次确诊时间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903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诊断依据及</w:t>
            </w:r>
          </w:p>
          <w:p>
            <w:pPr>
              <w:spacing w:before="16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申请原因</w:t>
            </w:r>
          </w:p>
        </w:tc>
        <w:tc>
          <w:tcPr>
            <w:tcW w:w="67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235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诊断医院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23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约定治疗医院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40" w:type="dxa"/>
            <w:gridSpan w:val="3"/>
            <w:vAlign w:val="top"/>
          </w:tcPr>
          <w:p>
            <w:pPr>
              <w:spacing w:before="204" w:line="219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专科副主任及以上医师签名</w:t>
            </w:r>
          </w:p>
        </w:tc>
        <w:tc>
          <w:tcPr>
            <w:tcW w:w="43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68" w:line="24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患者(家属)</w:t>
            </w:r>
          </w:p>
          <w:p>
            <w:pPr>
              <w:spacing w:line="198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签名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210" w:line="22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93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医院</w:t>
            </w:r>
          </w:p>
          <w:p>
            <w:pPr>
              <w:spacing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医保</w:t>
            </w:r>
          </w:p>
          <w:p>
            <w:pPr>
              <w:spacing w:before="23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主管</w:t>
            </w:r>
          </w:p>
          <w:p>
            <w:pPr>
              <w:spacing w:before="35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  <w:p>
            <w:pPr>
              <w:spacing w:before="5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406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2050" w:right="162" w:firstLine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年月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  <w:tc>
          <w:tcPr>
            <w:tcW w:w="9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医保</w:t>
            </w:r>
          </w:p>
          <w:p>
            <w:pPr>
              <w:spacing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经办</w:t>
            </w:r>
          </w:p>
          <w:p>
            <w:pPr>
              <w:spacing w:before="23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  <w:p>
            <w:pPr>
              <w:spacing w:before="6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3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2" w:line="253" w:lineRule="auto"/>
        <w:ind w:right="261" w:firstLine="9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说明：1、本表一式二份，参保人员、医保经办机构各一份。(医院端直接登记上传的，由医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8"/>
          <w:sz w:val="21"/>
          <w:szCs w:val="21"/>
        </w:rPr>
        <w:t>院存档备查)</w:t>
      </w:r>
    </w:p>
    <w:p>
      <w:pPr>
        <w:spacing w:before="51" w:line="249" w:lineRule="auto"/>
        <w:ind w:right="358" w:firstLine="61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2、</w:t>
      </w:r>
      <w:r>
        <w:rPr>
          <w:rFonts w:ascii="仿宋" w:hAnsi="仿宋" w:eastAsia="仿宋" w:cs="仿宋"/>
          <w:spacing w:val="-61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本表由指定诊断认定医院专科副主任及以上医师填写，参保人员</w:t>
      </w:r>
      <w:r>
        <w:rPr>
          <w:rFonts w:ascii="仿宋" w:hAnsi="仿宋" w:eastAsia="仿宋" w:cs="仿宋"/>
          <w:spacing w:val="-1"/>
          <w:sz w:val="21"/>
          <w:szCs w:val="21"/>
        </w:rPr>
        <w:t>或家属持患者本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6"/>
          <w:sz w:val="21"/>
          <w:szCs w:val="21"/>
        </w:rPr>
        <w:t>人社会保障卡、门诊病历、疾病诊断依据材料(出院记录或病理检查报告等),至医院医保</w:t>
      </w:r>
      <w:r>
        <w:rPr>
          <w:rFonts w:ascii="仿宋" w:hAnsi="仿宋" w:eastAsia="仿宋" w:cs="仿宋"/>
          <w:sz w:val="21"/>
          <w:szCs w:val="21"/>
        </w:rPr>
        <w:t xml:space="preserve"> 主管部门审核签章，并由医保主管部门通过信息系</w:t>
      </w:r>
      <w:r>
        <w:rPr>
          <w:rFonts w:ascii="仿宋" w:hAnsi="仿宋" w:eastAsia="仿宋" w:cs="仿宋"/>
          <w:spacing w:val="-1"/>
          <w:sz w:val="21"/>
          <w:szCs w:val="21"/>
        </w:rPr>
        <w:t>统登记上传，医保经办机构审核。</w:t>
      </w:r>
    </w:p>
    <w:p>
      <w:pPr>
        <w:spacing w:before="48" w:line="244" w:lineRule="auto"/>
        <w:ind w:right="371" w:firstLine="61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3、</w:t>
      </w:r>
      <w:r>
        <w:rPr>
          <w:rFonts w:ascii="仿宋" w:hAnsi="仿宋" w:eastAsia="仿宋" w:cs="仿宋"/>
          <w:spacing w:val="-60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参保人员办妥门诊特定项目登记确认手续</w:t>
      </w:r>
      <w:r>
        <w:rPr>
          <w:rFonts w:ascii="仿宋" w:hAnsi="仿宋" w:eastAsia="仿宋" w:cs="仿宋"/>
          <w:spacing w:val="-1"/>
          <w:sz w:val="21"/>
          <w:szCs w:val="21"/>
        </w:rPr>
        <w:t>后，持本人社会保障卡在定点医疗机构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直接结付，享受相应门诊特定项目医疗待遇。</w:t>
      </w:r>
    </w:p>
    <w:p>
      <w:pPr>
        <w:spacing w:before="46" w:line="244" w:lineRule="auto"/>
        <w:ind w:right="297" w:firstLine="61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4、慢性肾功能衰竭透析患者办妥上述手续后，因特殊原因需变更透析类型或医院的，</w:t>
      </w:r>
      <w:r>
        <w:rPr>
          <w:rFonts w:ascii="仿宋" w:hAnsi="仿宋" w:eastAsia="仿宋" w:cs="仿宋"/>
          <w:spacing w:val="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</w:rPr>
        <w:t>应办理约定医院变更手续。</w:t>
      </w:r>
    </w:p>
    <w:sectPr>
      <w:footerReference r:id="rId5" w:type="default"/>
      <w:pgSz w:w="11900" w:h="16840"/>
      <w:pgMar w:top="1371" w:right="1484" w:bottom="1964" w:left="1730" w:header="0" w:footer="16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942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2023-03-09T09:19:00Z</dcterms:created>
  <dc:creator>Kingsoft-PDF</dc:creator>
  <cp:lastModifiedBy>ღ金多梦</cp:lastModifiedBy>
  <dcterms:modified xsi:type="dcterms:W3CDTF">2023-03-09T01:19:48Z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2023-03-09T09:19:26Z</vt:filetime>
  </property>
  <property fmtid="{D5CDD505-2E9C-101B-9397-08002B2CF9AE}" pid="4" name="UsrData">
    <vt:lpwstr>640934130c8b290015cf1ebf</vt:lpwstr>
  </property>
  <property fmtid="{D5CDD505-2E9C-101B-9397-08002B2CF9AE}" pid="5" name="KSOProductBuildVer">
    <vt:lpwstr>2052-11.1.0.13703</vt:lpwstr>
  </property>
  <property fmtid="{D5CDD505-2E9C-101B-9397-08002B2CF9AE}" pid="6" name="ICV">
    <vt:lpwstr>1B09542585964716983607F8DCF453CF</vt:lpwstr>
  </property>
</Properties>
</file>